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627A1" w14:textId="77777777"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programowe na poszczególne oceny </w:t>
      </w:r>
    </w:p>
    <w:p w14:paraId="580B2D0B" w14:textId="77777777" w:rsidR="00252336" w:rsidRDefault="00252336">
      <w:pPr>
        <w:rPr>
          <w:b/>
        </w:rPr>
      </w:pPr>
    </w:p>
    <w:p w14:paraId="3FCBEBDE" w14:textId="6B27DB7B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  <w:bookmarkStart w:id="0" w:name="_GoBack"/>
            <w:bookmarkEnd w:id="0"/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</w:t>
            </w:r>
            <w:proofErr w:type="spellStart"/>
            <w:r w:rsidRPr="00C475F5">
              <w:rPr>
                <w:sz w:val="20"/>
                <w:szCs w:val="20"/>
              </w:rPr>
              <w:t>cyberbezpieczeństwa</w:t>
            </w:r>
            <w:proofErr w:type="spellEnd"/>
            <w:r w:rsidRPr="00C475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DC82FBA" w14:textId="77777777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jest członkiem organizacji skautowych lub </w:t>
            </w:r>
            <w:proofErr w:type="spellStart"/>
            <w:r w:rsidRPr="00C475F5">
              <w:rPr>
                <w:sz w:val="20"/>
                <w:szCs w:val="20"/>
              </w:rPr>
              <w:t>proobronnych</w:t>
            </w:r>
            <w:proofErr w:type="spellEnd"/>
            <w:r w:rsidRPr="00C475F5">
              <w:rPr>
                <w:sz w:val="20"/>
                <w:szCs w:val="20"/>
              </w:rPr>
              <w:t>, lub grup rekonstrukcyjnych  itp.</w:t>
            </w:r>
          </w:p>
          <w:p w14:paraId="12F62493" w14:textId="3CF5CDE5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wyposażenie </w:t>
            </w:r>
            <w:r w:rsidRPr="00E01E65">
              <w:rPr>
                <w:sz w:val="20"/>
                <w:szCs w:val="20"/>
              </w:rPr>
              <w:lastRenderedPageBreak/>
              <w:t>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po urazie w zastanej </w:t>
            </w:r>
            <w:r w:rsidRPr="00E01E65">
              <w:rPr>
                <w:sz w:val="20"/>
                <w:szCs w:val="20"/>
              </w:rPr>
              <w:lastRenderedPageBreak/>
              <w:t>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wykonuje podstawowe </w:t>
            </w:r>
            <w:r w:rsidRPr="00E01E65">
              <w:rPr>
                <w:sz w:val="20"/>
                <w:szCs w:val="20"/>
              </w:rPr>
              <w:lastRenderedPageBreak/>
              <w:t>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="00B644CF"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28D1C2C0" w14:textId="53F778B7"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1"/>
      <w:footerReference w:type="default" r:id="rId12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72837" w14:textId="77777777" w:rsidR="0037729F" w:rsidRDefault="0037729F">
      <w:r>
        <w:separator/>
      </w:r>
    </w:p>
  </w:endnote>
  <w:endnote w:type="continuationSeparator" w:id="0">
    <w:p w14:paraId="53520EF9" w14:textId="77777777" w:rsidR="0037729F" w:rsidRDefault="0037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140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4C404" w14:textId="77777777" w:rsidR="0037729F" w:rsidRDefault="0037729F">
      <w:r>
        <w:separator/>
      </w:r>
    </w:p>
  </w:footnote>
  <w:footnote w:type="continuationSeparator" w:id="0">
    <w:p w14:paraId="7AAC014D" w14:textId="77777777" w:rsidR="0037729F" w:rsidRDefault="0037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B140A"/>
    <w:rsid w:val="00EC5122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1843F-BE98-4CBE-8D41-4261AFE6676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e2570efc-75cf-496e-87ca-61d359d7a044"/>
    <ds:schemaRef ds:uri="http://www.w3.org/XML/1998/namespace"/>
    <ds:schemaRef ds:uri="6a58c713-624c-4cd1-a440-51c1ac95028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Nauczyciele</cp:lastModifiedBy>
  <cp:revision>2</cp:revision>
  <cp:lastPrinted>2009-08-05T10:01:00Z</cp:lastPrinted>
  <dcterms:created xsi:type="dcterms:W3CDTF">2024-09-12T10:47:00Z</dcterms:created>
  <dcterms:modified xsi:type="dcterms:W3CDTF">2024-09-12T10:47:00Z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